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0F" w:rsidRDefault="000A630F" w:rsidP="009C1E48">
      <w:pPr>
        <w:spacing w:after="0" w:line="23" w:lineRule="atLeast"/>
        <w:rPr>
          <w:b/>
          <w:sz w:val="24"/>
          <w:szCs w:val="24"/>
          <w:u w:val="single"/>
        </w:rPr>
      </w:pPr>
    </w:p>
    <w:p w:rsidR="006903EF" w:rsidRDefault="00587C0E" w:rsidP="000A630F">
      <w:pPr>
        <w:spacing w:after="0" w:line="23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REFERENCE </w:t>
      </w:r>
      <w:r w:rsidR="006903EF" w:rsidRPr="006903EF">
        <w:rPr>
          <w:b/>
          <w:sz w:val="24"/>
          <w:szCs w:val="24"/>
          <w:u w:val="single"/>
        </w:rPr>
        <w:t xml:space="preserve">  </w:t>
      </w:r>
      <w:r w:rsidR="001A3D24">
        <w:rPr>
          <w:b/>
          <w:sz w:val="24"/>
          <w:szCs w:val="24"/>
          <w:u w:val="single"/>
        </w:rPr>
        <w:t xml:space="preserve">- VYBRANÉ  </w:t>
      </w:r>
      <w:r w:rsidR="006903EF" w:rsidRPr="006903EF">
        <w:rPr>
          <w:b/>
          <w:sz w:val="24"/>
          <w:szCs w:val="24"/>
          <w:u w:val="single"/>
        </w:rPr>
        <w:t>REALIZOVAN</w:t>
      </w:r>
      <w:r>
        <w:rPr>
          <w:b/>
          <w:sz w:val="24"/>
          <w:szCs w:val="24"/>
          <w:u w:val="single"/>
        </w:rPr>
        <w:t>É</w:t>
      </w:r>
      <w:r w:rsidR="006903EF" w:rsidRPr="006903EF">
        <w:rPr>
          <w:b/>
          <w:sz w:val="24"/>
          <w:szCs w:val="24"/>
          <w:u w:val="single"/>
        </w:rPr>
        <w:t xml:space="preserve"> </w:t>
      </w:r>
      <w:r w:rsidR="002A2B2E">
        <w:rPr>
          <w:b/>
          <w:sz w:val="24"/>
          <w:szCs w:val="24"/>
          <w:u w:val="single"/>
        </w:rPr>
        <w:t>A DOZOROVANÉ</w:t>
      </w:r>
      <w:r w:rsidR="006903EF" w:rsidRPr="006903EF">
        <w:rPr>
          <w:b/>
          <w:sz w:val="24"/>
          <w:szCs w:val="24"/>
          <w:u w:val="single"/>
        </w:rPr>
        <w:t xml:space="preserve"> STAV</w:t>
      </w:r>
      <w:r>
        <w:rPr>
          <w:b/>
          <w:sz w:val="24"/>
          <w:szCs w:val="24"/>
          <w:u w:val="single"/>
        </w:rPr>
        <w:t>BY</w:t>
      </w:r>
    </w:p>
    <w:p w:rsidR="008A13DB" w:rsidRDefault="008A13DB" w:rsidP="00587C0E">
      <w:pPr>
        <w:spacing w:after="0" w:line="23" w:lineRule="atLeast"/>
        <w:jc w:val="center"/>
        <w:rPr>
          <w:b/>
          <w:sz w:val="24"/>
          <w:szCs w:val="24"/>
          <w:u w:val="single"/>
        </w:rPr>
      </w:pPr>
    </w:p>
    <w:p w:rsidR="006903EF" w:rsidRDefault="00D752E4" w:rsidP="00587C0E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Oprava administrativní budovy – Pankrác Praha – fasáda</w:t>
      </w:r>
    </w:p>
    <w:p w:rsidR="00D752E4" w:rsidRDefault="00D752E4" w:rsidP="00587C0E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MV Praha</w:t>
      </w:r>
    </w:p>
    <w:p w:rsidR="00D752E4" w:rsidRDefault="00D752E4" w:rsidP="00587C0E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755 000,00 Kč</w:t>
      </w:r>
    </w:p>
    <w:p w:rsidR="00D752E4" w:rsidRDefault="00037B4E" w:rsidP="00587C0E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2004</w:t>
      </w:r>
    </w:p>
    <w:p w:rsidR="00037B4E" w:rsidRDefault="00037B4E" w:rsidP="00587C0E">
      <w:pPr>
        <w:spacing w:after="0" w:line="23" w:lineRule="atLeast"/>
        <w:rPr>
          <w:sz w:val="24"/>
          <w:szCs w:val="24"/>
        </w:rPr>
      </w:pPr>
    </w:p>
    <w:p w:rsidR="00D752E4" w:rsidRDefault="00D752E4" w:rsidP="00587C0E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RD Jirsa Praha</w:t>
      </w:r>
    </w:p>
    <w:p w:rsidR="00D752E4" w:rsidRDefault="00D752E4" w:rsidP="00587C0E">
      <w:pPr>
        <w:spacing w:after="0"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Investor:           p.</w:t>
      </w:r>
      <w:proofErr w:type="gramEnd"/>
      <w:r>
        <w:rPr>
          <w:sz w:val="24"/>
          <w:szCs w:val="24"/>
        </w:rPr>
        <w:t xml:space="preserve"> Jirsa</w:t>
      </w:r>
    </w:p>
    <w:p w:rsidR="00D752E4" w:rsidRDefault="00D752E4" w:rsidP="00587C0E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670 000,00 Kč</w:t>
      </w:r>
    </w:p>
    <w:p w:rsidR="00D752E4" w:rsidRDefault="00037B4E" w:rsidP="00587C0E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2004</w:t>
      </w:r>
    </w:p>
    <w:p w:rsidR="00037B4E" w:rsidRDefault="00037B4E" w:rsidP="00587C0E">
      <w:pPr>
        <w:spacing w:after="0" w:line="23" w:lineRule="atLeast"/>
        <w:rPr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D752E4">
        <w:rPr>
          <w:b/>
          <w:sz w:val="24"/>
          <w:szCs w:val="24"/>
        </w:rPr>
        <w:t>Lékařská</w:t>
      </w:r>
      <w:proofErr w:type="gramEnd"/>
      <w:r w:rsidRPr="00D752E4">
        <w:rPr>
          <w:b/>
          <w:sz w:val="24"/>
          <w:szCs w:val="24"/>
        </w:rPr>
        <w:t xml:space="preserve"> fakulta Praha 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proofErr w:type="gramStart"/>
      <w:r w:rsidRPr="00D752E4">
        <w:rPr>
          <w:sz w:val="24"/>
          <w:szCs w:val="24"/>
        </w:rPr>
        <w:t xml:space="preserve">Investor:       </w:t>
      </w:r>
      <w:r>
        <w:rPr>
          <w:sz w:val="24"/>
          <w:szCs w:val="24"/>
        </w:rPr>
        <w:t xml:space="preserve">    investiční</w:t>
      </w:r>
      <w:proofErr w:type="gramEnd"/>
      <w:r>
        <w:rPr>
          <w:sz w:val="24"/>
          <w:szCs w:val="24"/>
        </w:rPr>
        <w:t xml:space="preserve"> odbor 1.LFK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523 762,00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2004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Radnice OÚ </w:t>
      </w:r>
      <w:proofErr w:type="spellStart"/>
      <w:r>
        <w:rPr>
          <w:b/>
          <w:sz w:val="24"/>
          <w:szCs w:val="24"/>
        </w:rPr>
        <w:t>Vrbátky</w:t>
      </w:r>
      <w:proofErr w:type="spellEnd"/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Investor:           OÚ </w:t>
      </w:r>
      <w:proofErr w:type="spellStart"/>
      <w:r>
        <w:rPr>
          <w:sz w:val="24"/>
          <w:szCs w:val="24"/>
        </w:rPr>
        <w:t>Vrbátky</w:t>
      </w:r>
      <w:proofErr w:type="spellEnd"/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7 mil.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2004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Oprava městských hradeb Kroměříž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Investor:           SMMK                              ing. </w:t>
      </w:r>
      <w:proofErr w:type="spellStart"/>
      <w:r>
        <w:rPr>
          <w:sz w:val="24"/>
          <w:szCs w:val="24"/>
        </w:rPr>
        <w:t>Bartoník</w:t>
      </w:r>
      <w:proofErr w:type="spellEnd"/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10 mil. Kč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>investor:  památkový</w:t>
      </w:r>
      <w:proofErr w:type="gramEnd"/>
      <w:r>
        <w:rPr>
          <w:sz w:val="24"/>
          <w:szCs w:val="24"/>
        </w:rPr>
        <w:t xml:space="preserve"> ústav Praha</w:t>
      </w: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Autobusové nádraží Praha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Investor:           Praha </w:t>
      </w:r>
      <w:proofErr w:type="gramStart"/>
      <w:r>
        <w:rPr>
          <w:sz w:val="24"/>
          <w:szCs w:val="24"/>
        </w:rPr>
        <w:t>10                         ing.</w:t>
      </w:r>
      <w:proofErr w:type="gramEnd"/>
      <w:r>
        <w:rPr>
          <w:sz w:val="24"/>
          <w:szCs w:val="24"/>
        </w:rPr>
        <w:t xml:space="preserve"> Šrámek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250 000,00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2004</w:t>
      </w:r>
    </w:p>
    <w:p w:rsidR="00C46438" w:rsidRDefault="00C46438" w:rsidP="00D752E4">
      <w:pPr>
        <w:spacing w:after="0" w:line="23" w:lineRule="atLeast"/>
        <w:rPr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Oprava administrativní budovy VAIHP a.s. Opletalova 55, Praha 1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VAIHP Praha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8,5 mil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2005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Věznice Pankrác Praha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 MV Praha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750 000,00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2005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037B4E" w:rsidRDefault="00037B4E" w:rsidP="00D752E4">
      <w:pPr>
        <w:spacing w:after="0" w:line="23" w:lineRule="atLeast"/>
        <w:rPr>
          <w:b/>
          <w:sz w:val="24"/>
          <w:szCs w:val="24"/>
        </w:rPr>
      </w:pPr>
    </w:p>
    <w:p w:rsidR="00D752E4" w:rsidRDefault="00D752E4" w:rsidP="00D752E4">
      <w:pPr>
        <w:spacing w:after="0" w:line="23" w:lineRule="atLeast"/>
        <w:rPr>
          <w:b/>
          <w:sz w:val="24"/>
          <w:szCs w:val="24"/>
        </w:rPr>
      </w:pPr>
      <w:r w:rsidRPr="00D752E4">
        <w:rPr>
          <w:b/>
          <w:sz w:val="24"/>
          <w:szCs w:val="24"/>
        </w:rPr>
        <w:t>Montáž ocelové konstrukce Praha Pankrác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  BAUMAX Praha</w:t>
      </w:r>
    </w:p>
    <w:p w:rsid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 1,205 mil. Kč</w:t>
      </w:r>
    </w:p>
    <w:p w:rsidR="00D752E4" w:rsidRDefault="00037B4E" w:rsidP="00D752E4">
      <w:pPr>
        <w:spacing w:after="0"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Realizace :          2006</w:t>
      </w:r>
      <w:proofErr w:type="gramEnd"/>
    </w:p>
    <w:p w:rsidR="00D752E4" w:rsidRDefault="00D752E4" w:rsidP="00D752E4">
      <w:pPr>
        <w:spacing w:after="0" w:line="23" w:lineRule="atLeast"/>
        <w:rPr>
          <w:sz w:val="24"/>
          <w:szCs w:val="24"/>
        </w:rPr>
      </w:pPr>
    </w:p>
    <w:p w:rsidR="00D752E4" w:rsidRDefault="0010699F" w:rsidP="00D752E4">
      <w:pPr>
        <w:spacing w:after="0" w:line="23" w:lineRule="atLeast"/>
        <w:rPr>
          <w:b/>
          <w:sz w:val="24"/>
          <w:szCs w:val="24"/>
        </w:rPr>
      </w:pPr>
      <w:r w:rsidRPr="0010699F">
        <w:rPr>
          <w:b/>
          <w:sz w:val="24"/>
          <w:szCs w:val="24"/>
        </w:rPr>
        <w:t xml:space="preserve">Administrativní budova </w:t>
      </w:r>
      <w:proofErr w:type="spellStart"/>
      <w:r w:rsidRPr="0010699F">
        <w:rPr>
          <w:b/>
          <w:sz w:val="24"/>
          <w:szCs w:val="24"/>
        </w:rPr>
        <w:t>Mlénský</w:t>
      </w:r>
      <w:proofErr w:type="spellEnd"/>
      <w:r w:rsidRPr="0010699F">
        <w:rPr>
          <w:b/>
          <w:sz w:val="24"/>
          <w:szCs w:val="24"/>
        </w:rPr>
        <w:t xml:space="preserve"> s.r.o. Brno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Investor:             </w:t>
      </w:r>
      <w:proofErr w:type="spellStart"/>
      <w:r>
        <w:rPr>
          <w:sz w:val="24"/>
          <w:szCs w:val="24"/>
        </w:rPr>
        <w:t>Mlénský</w:t>
      </w:r>
      <w:proofErr w:type="spellEnd"/>
      <w:r>
        <w:rPr>
          <w:sz w:val="24"/>
          <w:szCs w:val="24"/>
        </w:rPr>
        <w:t xml:space="preserve"> Brno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 6,54 mil. Kč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Realizace            2006</w:t>
      </w:r>
      <w:proofErr w:type="gramEnd"/>
    </w:p>
    <w:p w:rsidR="0010699F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99F" w:rsidRDefault="0010699F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Letiště Čáslav – dodavatel stavební části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  IMOS Brno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8 mil. Kč</w:t>
      </w:r>
    </w:p>
    <w:p w:rsidR="0010699F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2007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10699F" w:rsidRPr="0010699F" w:rsidRDefault="0010699F" w:rsidP="00D752E4">
      <w:pPr>
        <w:spacing w:after="0" w:line="23" w:lineRule="atLeast"/>
        <w:rPr>
          <w:b/>
          <w:sz w:val="24"/>
          <w:szCs w:val="24"/>
        </w:rPr>
      </w:pPr>
      <w:proofErr w:type="spellStart"/>
      <w:r w:rsidRPr="0010699F">
        <w:rPr>
          <w:b/>
          <w:sz w:val="24"/>
          <w:szCs w:val="24"/>
        </w:rPr>
        <w:t>Interspar</w:t>
      </w:r>
      <w:proofErr w:type="spellEnd"/>
      <w:r w:rsidRPr="0010699F">
        <w:rPr>
          <w:b/>
          <w:sz w:val="24"/>
          <w:szCs w:val="24"/>
        </w:rPr>
        <w:t xml:space="preserve"> Brno </w:t>
      </w:r>
      <w:proofErr w:type="spellStart"/>
      <w:r w:rsidRPr="0010699F">
        <w:rPr>
          <w:b/>
          <w:sz w:val="24"/>
          <w:szCs w:val="24"/>
        </w:rPr>
        <w:t>Vaňkovka</w:t>
      </w:r>
      <w:proofErr w:type="spellEnd"/>
      <w:r w:rsidRPr="0010699F">
        <w:rPr>
          <w:b/>
          <w:sz w:val="24"/>
          <w:szCs w:val="24"/>
        </w:rPr>
        <w:t xml:space="preserve">                      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  IMOS Brno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 1,7 mil</w:t>
      </w:r>
    </w:p>
    <w:p w:rsidR="0010699F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 2007-2008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10699F" w:rsidRDefault="0010699F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 </w:t>
      </w:r>
      <w:proofErr w:type="spellStart"/>
      <w:r>
        <w:rPr>
          <w:b/>
          <w:sz w:val="24"/>
          <w:szCs w:val="24"/>
        </w:rPr>
        <w:t>Herodková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Rataje</w:t>
      </w:r>
      <w:proofErr w:type="spellEnd"/>
      <w:r>
        <w:rPr>
          <w:b/>
          <w:sz w:val="24"/>
          <w:szCs w:val="24"/>
        </w:rPr>
        <w:t>-Popovice</w:t>
      </w:r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proofErr w:type="gramStart"/>
      <w:r w:rsidRPr="0010699F">
        <w:rPr>
          <w:sz w:val="24"/>
          <w:szCs w:val="24"/>
        </w:rPr>
        <w:t xml:space="preserve">Investor:    </w:t>
      </w:r>
      <w:r>
        <w:rPr>
          <w:sz w:val="24"/>
          <w:szCs w:val="24"/>
        </w:rPr>
        <w:t xml:space="preserve">        p.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Herodková</w:t>
      </w:r>
      <w:proofErr w:type="spellEnd"/>
    </w:p>
    <w:p w:rsidR="0010699F" w:rsidRDefault="0010699F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Cena:                  </w:t>
      </w:r>
      <w:r w:rsidR="008A13DB">
        <w:rPr>
          <w:sz w:val="24"/>
          <w:szCs w:val="24"/>
        </w:rPr>
        <w:t>1,597 mil. Kč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2008</w:t>
      </w:r>
    </w:p>
    <w:p w:rsidR="008A13DB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3DB" w:rsidRDefault="008A13DB" w:rsidP="00D752E4">
      <w:pPr>
        <w:spacing w:after="0" w:line="23" w:lineRule="atLeast"/>
        <w:rPr>
          <w:b/>
          <w:sz w:val="24"/>
          <w:szCs w:val="24"/>
        </w:rPr>
      </w:pPr>
      <w:r w:rsidRPr="008A13DB">
        <w:rPr>
          <w:b/>
          <w:sz w:val="24"/>
          <w:szCs w:val="24"/>
        </w:rPr>
        <w:t xml:space="preserve">RD </w:t>
      </w:r>
      <w:proofErr w:type="spellStart"/>
      <w:r w:rsidRPr="008A13DB">
        <w:rPr>
          <w:b/>
          <w:sz w:val="24"/>
          <w:szCs w:val="24"/>
        </w:rPr>
        <w:t>Zanáškovi</w:t>
      </w:r>
      <w:proofErr w:type="spellEnd"/>
      <w:r w:rsidRPr="008A13DB">
        <w:rPr>
          <w:b/>
          <w:sz w:val="24"/>
          <w:szCs w:val="24"/>
        </w:rPr>
        <w:t>, Holešov</w:t>
      </w:r>
    </w:p>
    <w:p w:rsidR="008A13DB" w:rsidRDefault="008A13DB" w:rsidP="00D752E4">
      <w:pPr>
        <w:spacing w:after="0" w:line="23" w:lineRule="atLeast"/>
        <w:rPr>
          <w:sz w:val="24"/>
          <w:szCs w:val="24"/>
        </w:rPr>
      </w:pPr>
      <w:r w:rsidRPr="008A13DB">
        <w:rPr>
          <w:sz w:val="24"/>
          <w:szCs w:val="24"/>
        </w:rPr>
        <w:t>Investor: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Zanáškovi</w:t>
      </w:r>
      <w:proofErr w:type="spellEnd"/>
    </w:p>
    <w:p w:rsidR="008A13DB" w:rsidRDefault="008A13DB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650 000,00 Kč</w:t>
      </w:r>
    </w:p>
    <w:p w:rsidR="008A13DB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2008-2009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8A13DB" w:rsidRDefault="008A13DB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 </w:t>
      </w:r>
      <w:proofErr w:type="spellStart"/>
      <w:r>
        <w:rPr>
          <w:b/>
          <w:sz w:val="24"/>
          <w:szCs w:val="24"/>
        </w:rPr>
        <w:t>Kostelany</w:t>
      </w:r>
      <w:proofErr w:type="spellEnd"/>
    </w:p>
    <w:p w:rsidR="008A13DB" w:rsidRDefault="008A13DB" w:rsidP="00D752E4">
      <w:pPr>
        <w:spacing w:after="0"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Investor:            ing.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Olšovský</w:t>
      </w:r>
      <w:proofErr w:type="spellEnd"/>
    </w:p>
    <w:p w:rsidR="008A13DB" w:rsidRDefault="008A13DB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Cena:                  757 965 Kč   </w:t>
      </w:r>
    </w:p>
    <w:p w:rsidR="008A13DB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2009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</w:p>
    <w:p w:rsidR="008A13DB" w:rsidRDefault="008A13DB" w:rsidP="00D752E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Bytové domy Hulín</w:t>
      </w:r>
    </w:p>
    <w:p w:rsidR="008A13DB" w:rsidRDefault="008A13DB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Investor:            PST Zlín</w:t>
      </w:r>
    </w:p>
    <w:p w:rsidR="008A13DB" w:rsidRPr="008A13DB" w:rsidRDefault="008A13DB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Cena:                  726 800,00 Kč</w:t>
      </w:r>
    </w:p>
    <w:p w:rsidR="00037B4E" w:rsidRDefault="00037B4E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Realizace:          2009</w:t>
      </w:r>
    </w:p>
    <w:p w:rsidR="00D752E4" w:rsidRPr="00D752E4" w:rsidRDefault="00D752E4" w:rsidP="00D752E4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037B4E" w:rsidRDefault="00037B4E" w:rsidP="006903EF">
      <w:pPr>
        <w:spacing w:after="0" w:line="23" w:lineRule="atLeast"/>
        <w:jc w:val="both"/>
        <w:rPr>
          <w:b/>
          <w:sz w:val="24"/>
          <w:szCs w:val="24"/>
        </w:rPr>
      </w:pPr>
    </w:p>
    <w:p w:rsidR="006903EF" w:rsidRPr="00A50C17" w:rsidRDefault="006903EF" w:rsidP="006903EF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Revitalizace bytového domu V Humnech 1406-8, Kunovice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7"/>
        <w:gridCol w:w="3685"/>
        <w:gridCol w:w="2105"/>
      </w:tblGrid>
      <w:tr w:rsidR="006903EF" w:rsidRPr="00A50C17" w:rsidTr="009D5E02"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903EF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SVJ V Humnech</w:t>
            </w:r>
          </w:p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Kunovice</w:t>
            </w:r>
          </w:p>
        </w:tc>
        <w:tc>
          <w:tcPr>
            <w:tcW w:w="5790" w:type="dxa"/>
            <w:gridSpan w:val="2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p. Adámek</w:t>
            </w:r>
          </w:p>
        </w:tc>
      </w:tr>
      <w:tr w:rsidR="006903EF" w:rsidRPr="00A50C17" w:rsidTr="009D5E02"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,4 mil"/>
              </w:smartTagPr>
              <w:r>
                <w:rPr>
                  <w:sz w:val="24"/>
                </w:rPr>
                <w:t>4,4 mil</w:t>
              </w:r>
            </w:smartTag>
            <w:r>
              <w:rPr>
                <w:sz w:val="24"/>
              </w:rPr>
              <w:t>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6903EF" w:rsidRPr="00A50C17" w:rsidTr="009D5E02">
        <w:trPr>
          <w:trHeight w:val="336"/>
        </w:trPr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6903EF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50C17">
              <w:rPr>
                <w:sz w:val="24"/>
              </w:rPr>
              <w:t>200</w:t>
            </w:r>
            <w:r>
              <w:rPr>
                <w:sz w:val="24"/>
              </w:rPr>
              <w:t>9</w:t>
            </w:r>
            <w:r w:rsidRPr="00A50C17">
              <w:rPr>
                <w:sz w:val="24"/>
              </w:rPr>
              <w:t xml:space="preserve"> </w:t>
            </w:r>
            <w:r>
              <w:rPr>
                <w:sz w:val="24"/>
              </w:rPr>
              <w:t>– 2010</w:t>
            </w:r>
          </w:p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  <w:tc>
          <w:tcPr>
            <w:tcW w:w="2105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6903EF" w:rsidRPr="00A50C17" w:rsidRDefault="006903EF" w:rsidP="006903EF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Revitalizace bytového domu Jiráskova, Vrchlického, Kroměříž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7"/>
        <w:gridCol w:w="3685"/>
        <w:gridCol w:w="2105"/>
      </w:tblGrid>
      <w:tr w:rsidR="006903EF" w:rsidRPr="00A50C17" w:rsidTr="009D5E02"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</w:p>
        </w:tc>
        <w:tc>
          <w:tcPr>
            <w:tcW w:w="2268" w:type="dxa"/>
            <w:gridSpan w:val="2"/>
          </w:tcPr>
          <w:p w:rsidR="006903EF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SVJ Jiráskova,</w:t>
            </w:r>
          </w:p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Vrchlického, KM</w:t>
            </w:r>
          </w:p>
        </w:tc>
        <w:tc>
          <w:tcPr>
            <w:tcW w:w="5790" w:type="dxa"/>
            <w:gridSpan w:val="2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Ing. Staněk</w:t>
            </w:r>
          </w:p>
        </w:tc>
      </w:tr>
      <w:tr w:rsidR="006903EF" w:rsidRPr="00A50C17" w:rsidTr="009D5E02"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mil"/>
              </w:smartTagPr>
              <w:r>
                <w:rPr>
                  <w:sz w:val="24"/>
                </w:rPr>
                <w:t>1,8 mil</w:t>
              </w:r>
            </w:smartTag>
            <w:r>
              <w:rPr>
                <w:sz w:val="24"/>
              </w:rPr>
              <w:t>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6903EF" w:rsidRPr="00A50C17" w:rsidTr="009D5E02">
        <w:tc>
          <w:tcPr>
            <w:tcW w:w="1488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515FA1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50C17">
              <w:rPr>
                <w:sz w:val="24"/>
              </w:rPr>
              <w:t>20</w:t>
            </w:r>
            <w:r>
              <w:rPr>
                <w:sz w:val="24"/>
              </w:rPr>
              <w:t>10</w:t>
            </w:r>
          </w:p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  <w:tc>
          <w:tcPr>
            <w:tcW w:w="2105" w:type="dxa"/>
          </w:tcPr>
          <w:p w:rsidR="006903EF" w:rsidRPr="00A50C17" w:rsidRDefault="006903EF" w:rsidP="009D5E02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8A13DB" w:rsidRDefault="008A13DB" w:rsidP="00D65DB8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Revitalizace bytového domu Štěrkoviště, Otrokovice</w:t>
      </w:r>
    </w:p>
    <w:p w:rsidR="008A13DB" w:rsidRDefault="008A13DB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SVJ Štěrkoviště</w:t>
      </w:r>
    </w:p>
    <w:p w:rsidR="008A13DB" w:rsidRDefault="008A13DB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12,7 mil. Kč</w:t>
      </w:r>
    </w:p>
    <w:p w:rsidR="00037B4E" w:rsidRDefault="00037B4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Realizace:         2010-2011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</w:p>
    <w:p w:rsidR="002A2B2E" w:rsidRDefault="002A2B2E" w:rsidP="00D65DB8">
      <w:pPr>
        <w:spacing w:after="0" w:line="23" w:lineRule="atLeast"/>
        <w:jc w:val="both"/>
        <w:rPr>
          <w:b/>
          <w:sz w:val="24"/>
          <w:szCs w:val="24"/>
        </w:rPr>
      </w:pPr>
      <w:r w:rsidRPr="002A2B2E">
        <w:rPr>
          <w:b/>
          <w:sz w:val="24"/>
          <w:szCs w:val="24"/>
        </w:rPr>
        <w:t>Revitalizace bytového domu Luční 907 – 908, Valašské Klobouky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OBZOR, SBD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3,87 mil.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Realizace :        2011</w:t>
      </w:r>
      <w:proofErr w:type="gramEnd"/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</w:p>
    <w:p w:rsidR="002A2B2E" w:rsidRDefault="002A2B2E" w:rsidP="00D65DB8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Revitalizace bytového domu Družba 1207 – 1208, </w:t>
      </w:r>
      <w:proofErr w:type="spellStart"/>
      <w:r>
        <w:rPr>
          <w:b/>
          <w:sz w:val="24"/>
          <w:szCs w:val="24"/>
        </w:rPr>
        <w:t>Brumov</w:t>
      </w:r>
      <w:proofErr w:type="spellEnd"/>
      <w:r>
        <w:rPr>
          <w:b/>
          <w:sz w:val="24"/>
          <w:szCs w:val="24"/>
        </w:rPr>
        <w:t xml:space="preserve"> – Bylnice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OBZOR, SBD</w:t>
      </w:r>
    </w:p>
    <w:p w:rsid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8,6 mil.</w:t>
      </w:r>
    </w:p>
    <w:p w:rsidR="002A2B2E" w:rsidRPr="002A2B2E" w:rsidRDefault="002A2B2E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Realizace:         2010 - 2011       </w:t>
      </w:r>
    </w:p>
    <w:p w:rsidR="008A13DB" w:rsidRPr="008A13DB" w:rsidRDefault="008A13DB" w:rsidP="00D65DB8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DB8" w:rsidRPr="00A50C17" w:rsidRDefault="00D65DB8" w:rsidP="00D65DB8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Revitalizace bytového domu Smetanova 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1368 - 1369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7"/>
        <w:gridCol w:w="3685"/>
        <w:gridCol w:w="2105"/>
      </w:tblGrid>
      <w:tr w:rsidR="00D65DB8" w:rsidRPr="00A50C17" w:rsidTr="000B2A60">
        <w:tc>
          <w:tcPr>
            <w:tcW w:w="1488" w:type="dxa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</w:p>
        </w:tc>
        <w:tc>
          <w:tcPr>
            <w:tcW w:w="2268" w:type="dxa"/>
            <w:gridSpan w:val="2"/>
          </w:tcPr>
          <w:p w:rsidR="00D65DB8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TRÁVNÍKY, BD  </w:t>
            </w:r>
          </w:p>
          <w:p w:rsidR="00D65DB8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Příčná 1541</w:t>
            </w:r>
          </w:p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Otrokovice</w:t>
            </w:r>
          </w:p>
        </w:tc>
        <w:tc>
          <w:tcPr>
            <w:tcW w:w="5790" w:type="dxa"/>
            <w:gridSpan w:val="2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p. Bajer</w:t>
            </w:r>
          </w:p>
        </w:tc>
      </w:tr>
      <w:tr w:rsidR="00D65DB8" w:rsidRPr="00A50C17" w:rsidTr="000B2A60">
        <w:tc>
          <w:tcPr>
            <w:tcW w:w="1488" w:type="dxa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 mil.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D65DB8" w:rsidRPr="00A50C17" w:rsidTr="000B2A60">
        <w:trPr>
          <w:trHeight w:val="336"/>
        </w:trPr>
        <w:tc>
          <w:tcPr>
            <w:tcW w:w="1488" w:type="dxa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2011</w:t>
            </w:r>
          </w:p>
        </w:tc>
        <w:tc>
          <w:tcPr>
            <w:tcW w:w="2105" w:type="dxa"/>
          </w:tcPr>
          <w:p w:rsidR="00D65DB8" w:rsidRPr="00A50C17" w:rsidRDefault="00D65DB8" w:rsidP="00D65DB8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D65DB8" w:rsidRDefault="00D65DB8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Revitalizace bytového domu Luční 903-904, Valašské Klobouky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 w:rsidRPr="00515FA1">
        <w:rPr>
          <w:sz w:val="24"/>
          <w:szCs w:val="24"/>
        </w:rPr>
        <w:t>Investor:</w:t>
      </w:r>
      <w:r>
        <w:rPr>
          <w:sz w:val="24"/>
          <w:szCs w:val="24"/>
        </w:rPr>
        <w:t xml:space="preserve">            OBZOR, SBD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 5,02 mil.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Realizace:          2011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</w:p>
    <w:p w:rsidR="00515FA1" w:rsidRP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Revitalizace bytového domu Družstevní 665 -668, </w:t>
      </w:r>
      <w:proofErr w:type="spellStart"/>
      <w:r>
        <w:rPr>
          <w:b/>
          <w:sz w:val="24"/>
          <w:szCs w:val="24"/>
        </w:rPr>
        <w:t>Slavičín</w:t>
      </w:r>
      <w:proofErr w:type="spellEnd"/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SVJD Družstevní 665-668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7,44 mil.</w:t>
      </w:r>
    </w:p>
    <w:p w:rsidR="00515FA1" w:rsidRP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Realizace:         2011- 2012   </w:t>
      </w:r>
    </w:p>
    <w:p w:rsidR="00515FA1" w:rsidRDefault="00515FA1" w:rsidP="000A1F06">
      <w:pPr>
        <w:spacing w:after="0" w:line="23" w:lineRule="atLeast"/>
        <w:jc w:val="both"/>
        <w:rPr>
          <w:b/>
          <w:sz w:val="24"/>
          <w:szCs w:val="24"/>
        </w:rPr>
      </w:pPr>
    </w:p>
    <w:p w:rsidR="000A1F06" w:rsidRPr="00A50C17" w:rsidRDefault="000A1F06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Revitalizace bytového domu </w:t>
      </w:r>
      <w:proofErr w:type="spellStart"/>
      <w:r>
        <w:rPr>
          <w:b/>
          <w:sz w:val="24"/>
          <w:szCs w:val="24"/>
        </w:rPr>
        <w:t>Kozlovská</w:t>
      </w:r>
      <w:proofErr w:type="spellEnd"/>
      <w:r>
        <w:rPr>
          <w:b/>
          <w:sz w:val="24"/>
          <w:szCs w:val="24"/>
        </w:rPr>
        <w:t xml:space="preserve"> 1507,1510,1512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7"/>
        <w:gridCol w:w="3685"/>
        <w:gridCol w:w="2105"/>
      </w:tblGrid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</w:p>
        </w:tc>
        <w:tc>
          <w:tcPr>
            <w:tcW w:w="2268" w:type="dxa"/>
            <w:gridSpan w:val="2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SVJ </w:t>
            </w:r>
            <w:proofErr w:type="spellStart"/>
            <w:r>
              <w:rPr>
                <w:sz w:val="24"/>
              </w:rPr>
              <w:t>Kozlovská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Přerov</w:t>
            </w:r>
          </w:p>
        </w:tc>
        <w:tc>
          <w:tcPr>
            <w:tcW w:w="5790" w:type="dxa"/>
            <w:gridSpan w:val="2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Kostrzitza</w:t>
            </w:r>
            <w:proofErr w:type="spellEnd"/>
          </w:p>
        </w:tc>
      </w:tr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6,3 mil.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0A1F06" w:rsidRPr="00A50C17" w:rsidTr="000B2A60">
        <w:trPr>
          <w:trHeight w:val="336"/>
        </w:trPr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2011 </w:t>
            </w:r>
            <w:r w:rsidR="002A2B2E">
              <w:rPr>
                <w:sz w:val="24"/>
              </w:rPr>
              <w:t>–</w:t>
            </w:r>
            <w:r>
              <w:rPr>
                <w:sz w:val="24"/>
              </w:rPr>
              <w:t xml:space="preserve"> 2012</w:t>
            </w:r>
          </w:p>
          <w:p w:rsidR="002A2B2E" w:rsidRPr="00A50C17" w:rsidRDefault="002A2B2E" w:rsidP="002A2B2E">
            <w:pPr>
              <w:spacing w:after="0" w:line="23" w:lineRule="atLeast"/>
              <w:jc w:val="both"/>
              <w:rPr>
                <w:sz w:val="24"/>
              </w:rPr>
            </w:pPr>
          </w:p>
        </w:tc>
        <w:tc>
          <w:tcPr>
            <w:tcW w:w="2105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0A1F06" w:rsidRDefault="000A1F06" w:rsidP="000A1F06">
      <w:pPr>
        <w:pStyle w:val="Nzev"/>
        <w:spacing w:line="23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A1F06" w:rsidRPr="00A50C17" w:rsidRDefault="000A1F06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Revitalizace bytového domu </w:t>
      </w:r>
      <w:r w:rsidRPr="001A483C">
        <w:rPr>
          <w:b/>
          <w:sz w:val="24"/>
          <w:szCs w:val="24"/>
        </w:rPr>
        <w:t>Na Malině 1284 - 1286</w:t>
      </w: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567"/>
        <w:gridCol w:w="3685"/>
        <w:gridCol w:w="2105"/>
      </w:tblGrid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</w:p>
        </w:tc>
        <w:tc>
          <w:tcPr>
            <w:tcW w:w="2268" w:type="dxa"/>
            <w:gridSpan w:val="2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SVD Na Malině 1284</w:t>
            </w:r>
          </w:p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Napajedla</w:t>
            </w:r>
          </w:p>
        </w:tc>
        <w:tc>
          <w:tcPr>
            <w:tcW w:w="5790" w:type="dxa"/>
            <w:gridSpan w:val="2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Maloušek</w:t>
            </w:r>
            <w:proofErr w:type="spellEnd"/>
          </w:p>
        </w:tc>
      </w:tr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5,3 mil.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0A1F06" w:rsidRPr="00A50C17" w:rsidTr="000B2A60">
        <w:trPr>
          <w:trHeight w:val="734"/>
        </w:trPr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  <w:tc>
          <w:tcPr>
            <w:tcW w:w="2105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0A1F06" w:rsidRPr="00A50C17" w:rsidRDefault="000A1F06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Rekonstrukce bytového domu U Vodojemu 1284/1285, Kyjov</w:t>
      </w:r>
      <w:r>
        <w:t xml:space="preserve"> 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992"/>
        <w:gridCol w:w="3260"/>
        <w:gridCol w:w="2105"/>
      </w:tblGrid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Investor:</w:t>
            </w:r>
          </w:p>
        </w:tc>
        <w:tc>
          <w:tcPr>
            <w:tcW w:w="2693" w:type="dxa"/>
            <w:gridSpan w:val="2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SD U Vodojemu 1284</w:t>
            </w:r>
          </w:p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Kyjov</w:t>
            </w:r>
          </w:p>
        </w:tc>
        <w:tc>
          <w:tcPr>
            <w:tcW w:w="5365" w:type="dxa"/>
            <w:gridSpan w:val="2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p. Svoboda</w:t>
            </w:r>
          </w:p>
        </w:tc>
      </w:tr>
      <w:tr w:rsidR="000A1F06" w:rsidRPr="00A50C17" w:rsidTr="000B2A60"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Cena:</w:t>
            </w:r>
          </w:p>
        </w:tc>
        <w:tc>
          <w:tcPr>
            <w:tcW w:w="1701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5,4 mil.</w:t>
            </w:r>
            <w:r w:rsidRPr="00A50C17">
              <w:rPr>
                <w:sz w:val="24"/>
              </w:rPr>
              <w:t xml:space="preserve"> Kč</w:t>
            </w:r>
          </w:p>
        </w:tc>
        <w:tc>
          <w:tcPr>
            <w:tcW w:w="6357" w:type="dxa"/>
            <w:gridSpan w:val="3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  <w:tr w:rsidR="000A1F06" w:rsidRPr="00A50C17" w:rsidTr="000B2A60">
        <w:trPr>
          <w:trHeight w:val="336"/>
        </w:trPr>
        <w:tc>
          <w:tcPr>
            <w:tcW w:w="1488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 w:rsidRPr="00A50C17">
              <w:rPr>
                <w:sz w:val="24"/>
              </w:rPr>
              <w:t>Realizace:</w:t>
            </w:r>
          </w:p>
        </w:tc>
        <w:tc>
          <w:tcPr>
            <w:tcW w:w="5953" w:type="dxa"/>
            <w:gridSpan w:val="3"/>
          </w:tcPr>
          <w:p w:rsidR="000A1F06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  <w:r w:rsidR="00F876DA">
              <w:rPr>
                <w:sz w:val="24"/>
              </w:rPr>
              <w:t xml:space="preserve"> - 2013</w:t>
            </w:r>
          </w:p>
          <w:p w:rsidR="00515FA1" w:rsidRDefault="00515FA1" w:rsidP="00515FA1">
            <w:pPr>
              <w:spacing w:after="0" w:line="23" w:lineRule="atLeast"/>
              <w:rPr>
                <w:sz w:val="24"/>
              </w:rPr>
            </w:pPr>
          </w:p>
          <w:p w:rsidR="00515FA1" w:rsidRPr="00515FA1" w:rsidRDefault="00515FA1" w:rsidP="00515FA1">
            <w:pPr>
              <w:spacing w:after="0" w:line="23" w:lineRule="atLeast"/>
              <w:rPr>
                <w:b/>
                <w:sz w:val="24"/>
              </w:rPr>
            </w:pPr>
          </w:p>
        </w:tc>
        <w:tc>
          <w:tcPr>
            <w:tcW w:w="2105" w:type="dxa"/>
          </w:tcPr>
          <w:p w:rsidR="000A1F06" w:rsidRPr="00A50C17" w:rsidRDefault="000A1F06" w:rsidP="000A1F06">
            <w:pPr>
              <w:spacing w:after="0" w:line="23" w:lineRule="atLeast"/>
              <w:jc w:val="both"/>
              <w:rPr>
                <w:sz w:val="24"/>
              </w:rPr>
            </w:pPr>
          </w:p>
        </w:tc>
      </w:tr>
    </w:tbl>
    <w:p w:rsidR="000F247B" w:rsidRPr="00515FA1" w:rsidRDefault="00515FA1" w:rsidP="00515FA1">
      <w:pPr>
        <w:pStyle w:val="Nzev"/>
        <w:spacing w:line="23" w:lineRule="atLeast"/>
        <w:jc w:val="both"/>
        <w:rPr>
          <w:rFonts w:asciiTheme="minorHAnsi" w:hAnsiTheme="minorHAnsi"/>
          <w:b/>
          <w:sz w:val="24"/>
        </w:rPr>
      </w:pPr>
      <w:r w:rsidRPr="00515FA1">
        <w:rPr>
          <w:rFonts w:asciiTheme="minorHAnsi" w:hAnsiTheme="minorHAnsi"/>
          <w:b/>
          <w:sz w:val="24"/>
        </w:rPr>
        <w:t>Dostavba výrobního areálu FREMACH Morava</w:t>
      </w:r>
      <w:r w:rsidR="00084AAB">
        <w:rPr>
          <w:rFonts w:asciiTheme="minorHAnsi" w:hAnsiTheme="minorHAnsi"/>
          <w:b/>
          <w:sz w:val="24"/>
        </w:rPr>
        <w:t xml:space="preserve"> – koordinátor BOZP</w:t>
      </w:r>
    </w:p>
    <w:p w:rsidR="000F247B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 FREMACH Morava, s.r.o.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  156 mil</w:t>
      </w:r>
      <w:r w:rsidR="009E4A73">
        <w:rPr>
          <w:sz w:val="24"/>
          <w:szCs w:val="24"/>
        </w:rPr>
        <w:t xml:space="preserve"> Kč</w:t>
      </w:r>
    </w:p>
    <w:p w:rsidR="00515FA1" w:rsidRDefault="00515FA1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Realizace:          2012  </w:t>
      </w:r>
    </w:p>
    <w:p w:rsid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</w:p>
    <w:p w:rsidR="009E4A73" w:rsidRDefault="009E4A73" w:rsidP="000A1F06">
      <w:pPr>
        <w:spacing w:after="0" w:line="23" w:lineRule="atLeast"/>
        <w:jc w:val="both"/>
        <w:rPr>
          <w:sz w:val="24"/>
          <w:szCs w:val="24"/>
        </w:rPr>
      </w:pPr>
    </w:p>
    <w:p w:rsidR="00F876DA" w:rsidRDefault="00F876DA" w:rsidP="000A1F06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Oprava bytů Vodní 56/11, Kroměříž</w:t>
      </w:r>
    </w:p>
    <w:p w:rsid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 INSTALACE plus, spol. s r.o.</w:t>
      </w:r>
    </w:p>
    <w:p w:rsid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                 941 </w:t>
      </w:r>
      <w:proofErr w:type="gramStart"/>
      <w:r>
        <w:rPr>
          <w:sz w:val="24"/>
          <w:szCs w:val="24"/>
        </w:rPr>
        <w:t>tis.Kč</w:t>
      </w:r>
      <w:proofErr w:type="gramEnd"/>
    </w:p>
    <w:p w:rsid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Realizace:          2013</w:t>
      </w:r>
    </w:p>
    <w:p w:rsid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</w:p>
    <w:p w:rsidR="00F876DA" w:rsidRPr="00F876DA" w:rsidRDefault="00F876DA" w:rsidP="000A1F06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pStyle w:val="Odstavecseseznamem"/>
        <w:spacing w:after="0" w:line="23" w:lineRule="atLeast"/>
        <w:jc w:val="both"/>
        <w:rPr>
          <w:sz w:val="32"/>
          <w:szCs w:val="32"/>
        </w:rPr>
      </w:pPr>
    </w:p>
    <w:p w:rsidR="008A13DB" w:rsidRDefault="008A13DB" w:rsidP="000A1F06">
      <w:pPr>
        <w:pStyle w:val="Odstavecseseznamem"/>
        <w:spacing w:after="0" w:line="23" w:lineRule="atLeast"/>
        <w:jc w:val="both"/>
        <w:rPr>
          <w:sz w:val="32"/>
          <w:szCs w:val="32"/>
        </w:rPr>
      </w:pPr>
    </w:p>
    <w:p w:rsidR="008A13DB" w:rsidRDefault="008A13DB" w:rsidP="000A1F06">
      <w:pPr>
        <w:pStyle w:val="Odstavecseseznamem"/>
        <w:spacing w:after="0" w:line="23" w:lineRule="atLeast"/>
        <w:jc w:val="both"/>
        <w:rPr>
          <w:sz w:val="32"/>
          <w:szCs w:val="32"/>
        </w:rPr>
      </w:pPr>
    </w:p>
    <w:p w:rsidR="00E454B2" w:rsidRDefault="00E454B2" w:rsidP="00E454B2">
      <w:pPr>
        <w:spacing w:after="0" w:line="23" w:lineRule="atLeast"/>
        <w:jc w:val="both"/>
        <w:rPr>
          <w:sz w:val="32"/>
          <w:szCs w:val="32"/>
        </w:rPr>
      </w:pPr>
    </w:p>
    <w:p w:rsidR="00E454B2" w:rsidRDefault="00E454B2" w:rsidP="00E454B2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Zateplení štítových zdí bytového domu Čtvrtky 677, </w:t>
      </w:r>
      <w:proofErr w:type="spellStart"/>
      <w:r>
        <w:rPr>
          <w:b/>
          <w:sz w:val="24"/>
          <w:szCs w:val="24"/>
        </w:rPr>
        <w:t>Kvasice</w:t>
      </w:r>
      <w:proofErr w:type="spellEnd"/>
    </w:p>
    <w:p w:rsidR="00E454B2" w:rsidRDefault="00E454B2" w:rsidP="00E454B2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Investor:            Společenství vlastníků domu Čtvrtky 677, </w:t>
      </w:r>
      <w:proofErr w:type="spellStart"/>
      <w:r>
        <w:rPr>
          <w:sz w:val="24"/>
          <w:szCs w:val="24"/>
        </w:rPr>
        <w:t>Kvasice</w:t>
      </w:r>
      <w:proofErr w:type="spellEnd"/>
    </w:p>
    <w:p w:rsidR="00E454B2" w:rsidRDefault="00E454B2" w:rsidP="00E454B2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                 140 </w:t>
      </w:r>
      <w:proofErr w:type="gramStart"/>
      <w:r>
        <w:rPr>
          <w:sz w:val="24"/>
          <w:szCs w:val="24"/>
        </w:rPr>
        <w:t>tis.Kč</w:t>
      </w:r>
      <w:proofErr w:type="gramEnd"/>
    </w:p>
    <w:p w:rsidR="00E454B2" w:rsidRDefault="00E454B2" w:rsidP="00E454B2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Realizace:          2013</w:t>
      </w:r>
    </w:p>
    <w:p w:rsidR="00CE639C" w:rsidRDefault="00CE639C" w:rsidP="000A1F06">
      <w:pPr>
        <w:pStyle w:val="Odstavecseseznamem"/>
        <w:spacing w:after="0" w:line="23" w:lineRule="atLeast"/>
        <w:jc w:val="both"/>
        <w:rPr>
          <w:sz w:val="32"/>
          <w:szCs w:val="32"/>
        </w:rPr>
      </w:pPr>
    </w:p>
    <w:p w:rsidR="00587C0E" w:rsidRPr="00587C0E" w:rsidRDefault="00CE639C" w:rsidP="00E454B2">
      <w:pPr>
        <w:spacing w:after="0" w:line="23" w:lineRule="atLeas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</w:p>
    <w:p w:rsidR="00DC283B" w:rsidRDefault="00DC283B" w:rsidP="00DC283B">
      <w:pPr>
        <w:spacing w:after="0" w:line="23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Zateplení štítových zdí bytového domu Družstevní 4565, Zlín</w:t>
      </w:r>
    </w:p>
    <w:p w:rsidR="00DC283B" w:rsidRDefault="00DC283B" w:rsidP="00DC283B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Investor:            Společenství vlastníků jednotek domu Družstevní 4565, Zlín</w:t>
      </w:r>
    </w:p>
    <w:p w:rsidR="00DC283B" w:rsidRDefault="00DC283B" w:rsidP="00DC283B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                 587 </w:t>
      </w:r>
      <w:proofErr w:type="gramStart"/>
      <w:r>
        <w:rPr>
          <w:sz w:val="24"/>
          <w:szCs w:val="24"/>
        </w:rPr>
        <w:t>tis.Kč</w:t>
      </w:r>
      <w:proofErr w:type="gramEnd"/>
    </w:p>
    <w:p w:rsidR="00DC283B" w:rsidRDefault="00DC283B" w:rsidP="00DC283B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Realizace:          2013</w:t>
      </w:r>
    </w:p>
    <w:p w:rsidR="00A640F4" w:rsidRDefault="00A640F4" w:rsidP="00CE639C">
      <w:pPr>
        <w:spacing w:after="0" w:line="23" w:lineRule="atLeast"/>
        <w:jc w:val="both"/>
        <w:rPr>
          <w:b/>
          <w:sz w:val="28"/>
          <w:szCs w:val="28"/>
        </w:rPr>
      </w:pPr>
    </w:p>
    <w:p w:rsidR="00264C85" w:rsidRDefault="00264C85" w:rsidP="00CE639C">
      <w:pPr>
        <w:spacing w:after="0" w:line="23" w:lineRule="atLeast"/>
        <w:jc w:val="both"/>
        <w:rPr>
          <w:b/>
          <w:sz w:val="28"/>
          <w:szCs w:val="28"/>
        </w:rPr>
      </w:pPr>
    </w:p>
    <w:p w:rsidR="00264C85" w:rsidRDefault="00264C85" w:rsidP="00CE639C">
      <w:pPr>
        <w:spacing w:after="0" w:line="23" w:lineRule="atLeast"/>
        <w:jc w:val="both"/>
        <w:rPr>
          <w:b/>
          <w:sz w:val="24"/>
          <w:szCs w:val="24"/>
        </w:rPr>
      </w:pPr>
      <w:r w:rsidRPr="00264C85">
        <w:rPr>
          <w:b/>
          <w:sz w:val="24"/>
          <w:szCs w:val="24"/>
        </w:rPr>
        <w:t>Oprava obchodních prostor, Moravská ul. Kroměříž</w:t>
      </w:r>
    </w:p>
    <w:p w:rsidR="00264C85" w:rsidRDefault="00264C85" w:rsidP="00CE639C">
      <w:pPr>
        <w:spacing w:after="0" w:line="23" w:lineRule="atLeast"/>
        <w:jc w:val="both"/>
        <w:rPr>
          <w:sz w:val="24"/>
          <w:szCs w:val="24"/>
        </w:rPr>
      </w:pPr>
      <w:r w:rsidRPr="00264C85">
        <w:rPr>
          <w:sz w:val="24"/>
          <w:szCs w:val="24"/>
        </w:rPr>
        <w:t>Investor:          POLIMEDCENTRUM ZLATÝ LEV s.r.o.</w:t>
      </w:r>
    </w:p>
    <w:p w:rsidR="00264C85" w:rsidRDefault="00264C85" w:rsidP="00CE639C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               1 456 </w:t>
      </w:r>
      <w:proofErr w:type="gramStart"/>
      <w:r>
        <w:rPr>
          <w:sz w:val="24"/>
          <w:szCs w:val="24"/>
        </w:rPr>
        <w:t>tis.Kč</w:t>
      </w:r>
      <w:proofErr w:type="gramEnd"/>
    </w:p>
    <w:p w:rsidR="00264C85" w:rsidRPr="00264C85" w:rsidRDefault="00264C85" w:rsidP="00CE639C">
      <w:pPr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Realizace:        2013     </w:t>
      </w:r>
    </w:p>
    <w:p w:rsidR="00A640F4" w:rsidRDefault="00A640F4" w:rsidP="00CE639C">
      <w:pPr>
        <w:spacing w:after="0" w:line="23" w:lineRule="atLeast"/>
        <w:jc w:val="both"/>
        <w:rPr>
          <w:sz w:val="28"/>
          <w:szCs w:val="28"/>
        </w:rPr>
      </w:pPr>
    </w:p>
    <w:p w:rsidR="00594F84" w:rsidRPr="00264C85" w:rsidRDefault="00594F84" w:rsidP="00CE639C">
      <w:pPr>
        <w:spacing w:after="0" w:line="23" w:lineRule="atLeast"/>
        <w:jc w:val="both"/>
        <w:rPr>
          <w:sz w:val="28"/>
          <w:szCs w:val="28"/>
        </w:rPr>
      </w:pPr>
    </w:p>
    <w:p w:rsidR="00A640F4" w:rsidRDefault="00594F84" w:rsidP="00CE639C">
      <w:pPr>
        <w:spacing w:after="0" w:line="23" w:lineRule="atLeast"/>
        <w:jc w:val="both"/>
        <w:rPr>
          <w:b/>
          <w:sz w:val="24"/>
          <w:szCs w:val="24"/>
        </w:rPr>
      </w:pPr>
      <w:r w:rsidRPr="00594F84">
        <w:rPr>
          <w:b/>
          <w:sz w:val="24"/>
          <w:szCs w:val="24"/>
        </w:rPr>
        <w:t>Zateplení bytového domu Pivovarská 1161, Holešov</w:t>
      </w:r>
    </w:p>
    <w:p w:rsidR="00594F84" w:rsidRPr="00594F84" w:rsidRDefault="00594F84" w:rsidP="00CE639C">
      <w:pPr>
        <w:spacing w:after="0" w:line="23" w:lineRule="atLeast"/>
        <w:jc w:val="both"/>
        <w:rPr>
          <w:sz w:val="24"/>
          <w:szCs w:val="24"/>
        </w:rPr>
      </w:pPr>
      <w:r w:rsidRPr="00594F84">
        <w:rPr>
          <w:sz w:val="24"/>
          <w:szCs w:val="24"/>
        </w:rPr>
        <w:t xml:space="preserve">Investor:         Společenství vlastníků jednotek v domě </w:t>
      </w:r>
      <w:proofErr w:type="spellStart"/>
      <w:proofErr w:type="gramStart"/>
      <w:r w:rsidRPr="00594F84">
        <w:rPr>
          <w:sz w:val="24"/>
          <w:szCs w:val="24"/>
        </w:rPr>
        <w:t>č.p</w:t>
      </w:r>
      <w:proofErr w:type="spellEnd"/>
      <w:r w:rsidRPr="00594F84">
        <w:rPr>
          <w:sz w:val="24"/>
          <w:szCs w:val="24"/>
        </w:rPr>
        <w:t>.</w:t>
      </w:r>
      <w:proofErr w:type="gramEnd"/>
      <w:r w:rsidRPr="00594F84">
        <w:rPr>
          <w:sz w:val="24"/>
          <w:szCs w:val="24"/>
        </w:rPr>
        <w:t xml:space="preserve"> 1161 v Holešově</w:t>
      </w:r>
    </w:p>
    <w:p w:rsidR="00594F84" w:rsidRPr="00594F84" w:rsidRDefault="00594F84" w:rsidP="00CE639C">
      <w:pPr>
        <w:spacing w:after="0" w:line="23" w:lineRule="atLeast"/>
        <w:jc w:val="both"/>
        <w:rPr>
          <w:sz w:val="24"/>
          <w:szCs w:val="24"/>
        </w:rPr>
      </w:pPr>
      <w:r w:rsidRPr="00594F84">
        <w:rPr>
          <w:sz w:val="24"/>
          <w:szCs w:val="24"/>
        </w:rPr>
        <w:t>Cena:                643 tis. Kč</w:t>
      </w:r>
    </w:p>
    <w:p w:rsidR="00594F84" w:rsidRPr="00594F84" w:rsidRDefault="00594F84" w:rsidP="00CE639C">
      <w:pPr>
        <w:spacing w:after="0" w:line="23" w:lineRule="atLeast"/>
        <w:jc w:val="both"/>
        <w:rPr>
          <w:sz w:val="24"/>
          <w:szCs w:val="24"/>
        </w:rPr>
      </w:pPr>
      <w:r w:rsidRPr="00594F84">
        <w:rPr>
          <w:sz w:val="24"/>
          <w:szCs w:val="24"/>
        </w:rPr>
        <w:t>Realizace:        2014</w:t>
      </w:r>
    </w:p>
    <w:p w:rsidR="00594F84" w:rsidRDefault="00594F84" w:rsidP="00CE639C">
      <w:pPr>
        <w:spacing w:after="0" w:line="23" w:lineRule="atLeast"/>
        <w:jc w:val="both"/>
        <w:rPr>
          <w:sz w:val="24"/>
          <w:szCs w:val="24"/>
        </w:rPr>
      </w:pPr>
    </w:p>
    <w:p w:rsidR="00594F84" w:rsidRPr="00594F84" w:rsidRDefault="00594F84" w:rsidP="00CE639C">
      <w:pPr>
        <w:spacing w:after="0" w:line="23" w:lineRule="atLeast"/>
        <w:jc w:val="both"/>
        <w:rPr>
          <w:sz w:val="24"/>
          <w:szCs w:val="24"/>
        </w:rPr>
      </w:pPr>
    </w:p>
    <w:p w:rsidR="00A640F4" w:rsidRDefault="00594F84" w:rsidP="001F40F8">
      <w:pPr>
        <w:spacing w:after="0"/>
        <w:jc w:val="both"/>
        <w:rPr>
          <w:b/>
          <w:sz w:val="24"/>
          <w:szCs w:val="24"/>
        </w:rPr>
      </w:pPr>
      <w:r w:rsidRPr="00594F84">
        <w:rPr>
          <w:b/>
          <w:sz w:val="24"/>
          <w:szCs w:val="24"/>
        </w:rPr>
        <w:t>Stavební úpravy rekreačního objektu v</w:t>
      </w:r>
      <w:r>
        <w:rPr>
          <w:b/>
          <w:sz w:val="24"/>
          <w:szCs w:val="24"/>
        </w:rPr>
        <w:t> </w:t>
      </w:r>
      <w:r w:rsidRPr="00594F84">
        <w:rPr>
          <w:b/>
          <w:sz w:val="24"/>
          <w:szCs w:val="24"/>
        </w:rPr>
        <w:t>Rakově</w:t>
      </w:r>
    </w:p>
    <w:p w:rsidR="00594F84" w:rsidRDefault="00594F84" w:rsidP="001F40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Investor:          </w:t>
      </w:r>
      <w:proofErr w:type="spellStart"/>
      <w:r>
        <w:rPr>
          <w:sz w:val="24"/>
          <w:szCs w:val="24"/>
        </w:rPr>
        <w:t>PharmDr</w:t>
      </w:r>
      <w:proofErr w:type="spellEnd"/>
      <w:r>
        <w:rPr>
          <w:sz w:val="24"/>
          <w:szCs w:val="24"/>
        </w:rPr>
        <w:t>. Helena Poláchová</w:t>
      </w:r>
    </w:p>
    <w:p w:rsidR="00594F84" w:rsidRDefault="00594F84" w:rsidP="001F40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Cena:                258 tis. Kč</w:t>
      </w:r>
    </w:p>
    <w:p w:rsidR="00594F84" w:rsidRDefault="00594F84" w:rsidP="001F40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Realizace:        2014</w:t>
      </w:r>
    </w:p>
    <w:p w:rsidR="00594F84" w:rsidRPr="00594F84" w:rsidRDefault="00594F84" w:rsidP="001F40F8">
      <w:pPr>
        <w:spacing w:after="0"/>
        <w:jc w:val="both"/>
        <w:rPr>
          <w:sz w:val="24"/>
          <w:szCs w:val="24"/>
        </w:rPr>
      </w:pPr>
    </w:p>
    <w:p w:rsidR="00594F84" w:rsidRPr="00594F84" w:rsidRDefault="00594F84" w:rsidP="001F40F8">
      <w:pPr>
        <w:spacing w:after="0"/>
        <w:jc w:val="both"/>
        <w:rPr>
          <w:b/>
          <w:sz w:val="24"/>
          <w:szCs w:val="24"/>
        </w:rPr>
      </w:pPr>
    </w:p>
    <w:p w:rsidR="00AC3939" w:rsidRDefault="00AC3939" w:rsidP="001F40F8">
      <w:pPr>
        <w:spacing w:after="0"/>
        <w:jc w:val="both"/>
        <w:rPr>
          <w:b/>
          <w:sz w:val="28"/>
          <w:szCs w:val="28"/>
        </w:rPr>
      </w:pPr>
    </w:p>
    <w:p w:rsidR="004265EF" w:rsidRDefault="004265EF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587C0E" w:rsidSect="009918D6">
      <w:headerReference w:type="even" r:id="rId8"/>
      <w:headerReference w:type="default" r:id="rId9"/>
      <w:headerReference w:type="first" r:id="rId10"/>
      <w:pgSz w:w="11906" w:h="16838" w:code="9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D8" w:rsidRDefault="004B24D8" w:rsidP="00DB0F1F">
      <w:pPr>
        <w:spacing w:after="0" w:line="240" w:lineRule="auto"/>
      </w:pPr>
      <w:r>
        <w:separator/>
      </w:r>
    </w:p>
  </w:endnote>
  <w:endnote w:type="continuationSeparator" w:id="0">
    <w:p w:rsidR="004B24D8" w:rsidRDefault="004B24D8" w:rsidP="00D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D8" w:rsidRDefault="004B24D8" w:rsidP="00DB0F1F">
      <w:pPr>
        <w:spacing w:after="0" w:line="240" w:lineRule="auto"/>
      </w:pPr>
      <w:r>
        <w:separator/>
      </w:r>
    </w:p>
  </w:footnote>
  <w:footnote w:type="continuationSeparator" w:id="0">
    <w:p w:rsidR="004B24D8" w:rsidRDefault="004B24D8" w:rsidP="00D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242B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60" o:spid="_x0000_s2050" type="#_x0000_t75" style="position:absolute;margin-left:0;margin-top:0;width:570.75pt;height:815.6pt;z-index:-251657216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242B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61" o:spid="_x0000_s2051" type="#_x0000_t75" style="position:absolute;margin-left:0;margin-top:0;width:570.75pt;height:815.6pt;z-index:-251656192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242B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59" o:spid="_x0000_s2049" type="#_x0000_t75" style="position:absolute;margin-left:0;margin-top:0;width:570.75pt;height:815.6pt;z-index:-251658240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5AF"/>
    <w:multiLevelType w:val="hybridMultilevel"/>
    <w:tmpl w:val="449C9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52B"/>
    <w:multiLevelType w:val="hybridMultilevel"/>
    <w:tmpl w:val="449C9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738"/>
    <w:multiLevelType w:val="multilevel"/>
    <w:tmpl w:val="DB2E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32C41"/>
    <w:multiLevelType w:val="hybridMultilevel"/>
    <w:tmpl w:val="7C508710"/>
    <w:lvl w:ilvl="0" w:tplc="9E22E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AC5"/>
    <w:multiLevelType w:val="hybridMultilevel"/>
    <w:tmpl w:val="39862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4905"/>
    <w:multiLevelType w:val="hybridMultilevel"/>
    <w:tmpl w:val="E94EDF72"/>
    <w:lvl w:ilvl="0" w:tplc="75605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911F1"/>
    <w:multiLevelType w:val="hybridMultilevel"/>
    <w:tmpl w:val="7C5C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F8726"/>
    <w:multiLevelType w:val="hybridMultilevel"/>
    <w:tmpl w:val="2D499F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F1F"/>
    <w:rsid w:val="00004B5E"/>
    <w:rsid w:val="00037B4E"/>
    <w:rsid w:val="00050F79"/>
    <w:rsid w:val="00057333"/>
    <w:rsid w:val="00066BEB"/>
    <w:rsid w:val="0008228C"/>
    <w:rsid w:val="00084AAB"/>
    <w:rsid w:val="00093FB3"/>
    <w:rsid w:val="000A1F06"/>
    <w:rsid w:val="000A630F"/>
    <w:rsid w:val="000B59BC"/>
    <w:rsid w:val="000C54A7"/>
    <w:rsid w:val="000D52D9"/>
    <w:rsid w:val="000E070C"/>
    <w:rsid w:val="000E471C"/>
    <w:rsid w:val="000F247B"/>
    <w:rsid w:val="00100E36"/>
    <w:rsid w:val="00101507"/>
    <w:rsid w:val="0010699F"/>
    <w:rsid w:val="001075D8"/>
    <w:rsid w:val="00110325"/>
    <w:rsid w:val="00121953"/>
    <w:rsid w:val="00161041"/>
    <w:rsid w:val="0016481B"/>
    <w:rsid w:val="00193D83"/>
    <w:rsid w:val="00195726"/>
    <w:rsid w:val="00195F2F"/>
    <w:rsid w:val="001A3D24"/>
    <w:rsid w:val="001A6B1E"/>
    <w:rsid w:val="001C4A41"/>
    <w:rsid w:val="001E4CF8"/>
    <w:rsid w:val="001E6E13"/>
    <w:rsid w:val="001E7A92"/>
    <w:rsid w:val="001F40F8"/>
    <w:rsid w:val="00220A9C"/>
    <w:rsid w:val="00240E92"/>
    <w:rsid w:val="00242B8B"/>
    <w:rsid w:val="002457B0"/>
    <w:rsid w:val="0025163E"/>
    <w:rsid w:val="00264C85"/>
    <w:rsid w:val="00280230"/>
    <w:rsid w:val="002810B3"/>
    <w:rsid w:val="00285603"/>
    <w:rsid w:val="00287B06"/>
    <w:rsid w:val="00297F3D"/>
    <w:rsid w:val="002A1BB4"/>
    <w:rsid w:val="002A2B2E"/>
    <w:rsid w:val="002A3393"/>
    <w:rsid w:val="002A5F5D"/>
    <w:rsid w:val="002C0B98"/>
    <w:rsid w:val="002C3076"/>
    <w:rsid w:val="002D3BAD"/>
    <w:rsid w:val="002D6B9C"/>
    <w:rsid w:val="002E5B8E"/>
    <w:rsid w:val="002E6BF5"/>
    <w:rsid w:val="002F27ED"/>
    <w:rsid w:val="00305AE0"/>
    <w:rsid w:val="00316688"/>
    <w:rsid w:val="003311EC"/>
    <w:rsid w:val="003325D6"/>
    <w:rsid w:val="003710D0"/>
    <w:rsid w:val="00376C12"/>
    <w:rsid w:val="00383CDE"/>
    <w:rsid w:val="0039243B"/>
    <w:rsid w:val="003940A9"/>
    <w:rsid w:val="003A0A06"/>
    <w:rsid w:val="003A7893"/>
    <w:rsid w:val="003B5D69"/>
    <w:rsid w:val="003C3015"/>
    <w:rsid w:val="003C742E"/>
    <w:rsid w:val="003D1FC4"/>
    <w:rsid w:val="003E76A8"/>
    <w:rsid w:val="003F1550"/>
    <w:rsid w:val="004140D2"/>
    <w:rsid w:val="004157D0"/>
    <w:rsid w:val="00421AA7"/>
    <w:rsid w:val="004265EF"/>
    <w:rsid w:val="00430042"/>
    <w:rsid w:val="0043486D"/>
    <w:rsid w:val="004354E4"/>
    <w:rsid w:val="0044244A"/>
    <w:rsid w:val="004579FE"/>
    <w:rsid w:val="00490231"/>
    <w:rsid w:val="00497360"/>
    <w:rsid w:val="004A50FE"/>
    <w:rsid w:val="004B1780"/>
    <w:rsid w:val="004B24D8"/>
    <w:rsid w:val="004B44E3"/>
    <w:rsid w:val="004B66E2"/>
    <w:rsid w:val="004C1583"/>
    <w:rsid w:val="004C3F5B"/>
    <w:rsid w:val="004C4041"/>
    <w:rsid w:val="004E5F19"/>
    <w:rsid w:val="004F1C60"/>
    <w:rsid w:val="00503B1E"/>
    <w:rsid w:val="005105A2"/>
    <w:rsid w:val="00515492"/>
    <w:rsid w:val="00515FA1"/>
    <w:rsid w:val="00516A7D"/>
    <w:rsid w:val="005204CA"/>
    <w:rsid w:val="00522CA0"/>
    <w:rsid w:val="0052314D"/>
    <w:rsid w:val="00526926"/>
    <w:rsid w:val="00557C6A"/>
    <w:rsid w:val="00561754"/>
    <w:rsid w:val="00565D54"/>
    <w:rsid w:val="00587C0E"/>
    <w:rsid w:val="00591029"/>
    <w:rsid w:val="00594F84"/>
    <w:rsid w:val="005C73A3"/>
    <w:rsid w:val="005D0729"/>
    <w:rsid w:val="005D0DD0"/>
    <w:rsid w:val="005D46A8"/>
    <w:rsid w:val="005E0E49"/>
    <w:rsid w:val="005F1838"/>
    <w:rsid w:val="00624EFC"/>
    <w:rsid w:val="006329B4"/>
    <w:rsid w:val="00646C26"/>
    <w:rsid w:val="00662703"/>
    <w:rsid w:val="00662994"/>
    <w:rsid w:val="006638D9"/>
    <w:rsid w:val="00664FE8"/>
    <w:rsid w:val="00666FA4"/>
    <w:rsid w:val="006903EF"/>
    <w:rsid w:val="006967C3"/>
    <w:rsid w:val="006A23AC"/>
    <w:rsid w:val="006D1BB3"/>
    <w:rsid w:val="00712E4F"/>
    <w:rsid w:val="00732E54"/>
    <w:rsid w:val="007422CD"/>
    <w:rsid w:val="00746669"/>
    <w:rsid w:val="00760F5E"/>
    <w:rsid w:val="00760F88"/>
    <w:rsid w:val="007666C1"/>
    <w:rsid w:val="00791ADC"/>
    <w:rsid w:val="00791CD6"/>
    <w:rsid w:val="007B62E2"/>
    <w:rsid w:val="007D1D92"/>
    <w:rsid w:val="007D2960"/>
    <w:rsid w:val="007E4B1E"/>
    <w:rsid w:val="007F5411"/>
    <w:rsid w:val="007F54E6"/>
    <w:rsid w:val="007F726A"/>
    <w:rsid w:val="007F7F15"/>
    <w:rsid w:val="00817397"/>
    <w:rsid w:val="00821745"/>
    <w:rsid w:val="00831F9C"/>
    <w:rsid w:val="00834DAC"/>
    <w:rsid w:val="00851906"/>
    <w:rsid w:val="00864F9D"/>
    <w:rsid w:val="00865C32"/>
    <w:rsid w:val="00883E39"/>
    <w:rsid w:val="0089173B"/>
    <w:rsid w:val="0089605B"/>
    <w:rsid w:val="008A13DB"/>
    <w:rsid w:val="008D65A9"/>
    <w:rsid w:val="00921786"/>
    <w:rsid w:val="00933B91"/>
    <w:rsid w:val="00944667"/>
    <w:rsid w:val="00944DE9"/>
    <w:rsid w:val="00944FCB"/>
    <w:rsid w:val="009475BE"/>
    <w:rsid w:val="009545A5"/>
    <w:rsid w:val="00957A0F"/>
    <w:rsid w:val="00967F05"/>
    <w:rsid w:val="00974CDF"/>
    <w:rsid w:val="009775AC"/>
    <w:rsid w:val="009918D6"/>
    <w:rsid w:val="009A2B3D"/>
    <w:rsid w:val="009A7FC2"/>
    <w:rsid w:val="009B319B"/>
    <w:rsid w:val="009B671D"/>
    <w:rsid w:val="009B6B7D"/>
    <w:rsid w:val="009C0DFB"/>
    <w:rsid w:val="009C1E48"/>
    <w:rsid w:val="009C4305"/>
    <w:rsid w:val="009C7226"/>
    <w:rsid w:val="009D1506"/>
    <w:rsid w:val="009D21EB"/>
    <w:rsid w:val="009E0E7E"/>
    <w:rsid w:val="009E4A73"/>
    <w:rsid w:val="009E72F8"/>
    <w:rsid w:val="009F0D1C"/>
    <w:rsid w:val="009F7236"/>
    <w:rsid w:val="00A129BB"/>
    <w:rsid w:val="00A20DBE"/>
    <w:rsid w:val="00A322EF"/>
    <w:rsid w:val="00A358B7"/>
    <w:rsid w:val="00A36CC0"/>
    <w:rsid w:val="00A44148"/>
    <w:rsid w:val="00A53D20"/>
    <w:rsid w:val="00A54295"/>
    <w:rsid w:val="00A560AB"/>
    <w:rsid w:val="00A640F4"/>
    <w:rsid w:val="00A66736"/>
    <w:rsid w:val="00A755DB"/>
    <w:rsid w:val="00A83A32"/>
    <w:rsid w:val="00A83CC7"/>
    <w:rsid w:val="00A97FCA"/>
    <w:rsid w:val="00AA6237"/>
    <w:rsid w:val="00AC1BE1"/>
    <w:rsid w:val="00AC3939"/>
    <w:rsid w:val="00AC3AB5"/>
    <w:rsid w:val="00B335C6"/>
    <w:rsid w:val="00B52660"/>
    <w:rsid w:val="00B86058"/>
    <w:rsid w:val="00B9681B"/>
    <w:rsid w:val="00BA3007"/>
    <w:rsid w:val="00BC3DD1"/>
    <w:rsid w:val="00BC62D1"/>
    <w:rsid w:val="00BD169A"/>
    <w:rsid w:val="00BE601C"/>
    <w:rsid w:val="00C01132"/>
    <w:rsid w:val="00C03F39"/>
    <w:rsid w:val="00C06C4F"/>
    <w:rsid w:val="00C07735"/>
    <w:rsid w:val="00C111D3"/>
    <w:rsid w:val="00C1168E"/>
    <w:rsid w:val="00C3718B"/>
    <w:rsid w:val="00C46438"/>
    <w:rsid w:val="00C51DC9"/>
    <w:rsid w:val="00C666BB"/>
    <w:rsid w:val="00C83DF9"/>
    <w:rsid w:val="00CA2F70"/>
    <w:rsid w:val="00CB72B1"/>
    <w:rsid w:val="00CC118F"/>
    <w:rsid w:val="00CE639C"/>
    <w:rsid w:val="00CF3EFD"/>
    <w:rsid w:val="00D206F9"/>
    <w:rsid w:val="00D23310"/>
    <w:rsid w:val="00D347C2"/>
    <w:rsid w:val="00D50F3E"/>
    <w:rsid w:val="00D65DB8"/>
    <w:rsid w:val="00D67FC7"/>
    <w:rsid w:val="00D70F8F"/>
    <w:rsid w:val="00D71B14"/>
    <w:rsid w:val="00D752E4"/>
    <w:rsid w:val="00D9188C"/>
    <w:rsid w:val="00D9636E"/>
    <w:rsid w:val="00DA4E90"/>
    <w:rsid w:val="00DB0F1F"/>
    <w:rsid w:val="00DB5B81"/>
    <w:rsid w:val="00DB67CC"/>
    <w:rsid w:val="00DC283B"/>
    <w:rsid w:val="00DD064A"/>
    <w:rsid w:val="00DE0696"/>
    <w:rsid w:val="00DE5F7B"/>
    <w:rsid w:val="00DF2928"/>
    <w:rsid w:val="00DF297D"/>
    <w:rsid w:val="00E03672"/>
    <w:rsid w:val="00E13EBB"/>
    <w:rsid w:val="00E3169A"/>
    <w:rsid w:val="00E34EBB"/>
    <w:rsid w:val="00E410E6"/>
    <w:rsid w:val="00E454B2"/>
    <w:rsid w:val="00E50F37"/>
    <w:rsid w:val="00E65027"/>
    <w:rsid w:val="00E82708"/>
    <w:rsid w:val="00E941F9"/>
    <w:rsid w:val="00EB3F03"/>
    <w:rsid w:val="00EB67F9"/>
    <w:rsid w:val="00ED72DF"/>
    <w:rsid w:val="00F00F44"/>
    <w:rsid w:val="00F14CAA"/>
    <w:rsid w:val="00F269C7"/>
    <w:rsid w:val="00F31B66"/>
    <w:rsid w:val="00F40AC1"/>
    <w:rsid w:val="00F441C7"/>
    <w:rsid w:val="00F514B0"/>
    <w:rsid w:val="00F51867"/>
    <w:rsid w:val="00F62125"/>
    <w:rsid w:val="00F653CA"/>
    <w:rsid w:val="00F82E8C"/>
    <w:rsid w:val="00F876DA"/>
    <w:rsid w:val="00F9617A"/>
    <w:rsid w:val="00FA42FB"/>
    <w:rsid w:val="00FA4F73"/>
    <w:rsid w:val="00FB117B"/>
    <w:rsid w:val="00FB34EC"/>
    <w:rsid w:val="00FB5289"/>
    <w:rsid w:val="00FC1B4A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F1F"/>
  </w:style>
  <w:style w:type="paragraph" w:styleId="Zpat">
    <w:name w:val="footer"/>
    <w:basedOn w:val="Normln"/>
    <w:link w:val="ZpatChar"/>
    <w:uiPriority w:val="99"/>
    <w:semiHidden/>
    <w:unhideWhenUsed/>
    <w:rsid w:val="00DB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0F1F"/>
  </w:style>
  <w:style w:type="paragraph" w:styleId="Odstavecseseznamem">
    <w:name w:val="List Paragraph"/>
    <w:basedOn w:val="Normln"/>
    <w:uiPriority w:val="34"/>
    <w:qFormat/>
    <w:rsid w:val="00A66736"/>
    <w:pPr>
      <w:ind w:left="720"/>
      <w:contextualSpacing/>
    </w:pPr>
  </w:style>
  <w:style w:type="paragraph" w:customStyle="1" w:styleId="Default">
    <w:name w:val="Default"/>
    <w:rsid w:val="00921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Default"/>
    <w:next w:val="Default"/>
    <w:rsid w:val="00921786"/>
    <w:rPr>
      <w:color w:val="auto"/>
    </w:rPr>
  </w:style>
  <w:style w:type="table" w:styleId="Mkatabulky">
    <w:name w:val="Table Grid"/>
    <w:basedOn w:val="Normlntabulka"/>
    <w:uiPriority w:val="59"/>
    <w:rsid w:val="005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D65DB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5DB8"/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0B4B-20AF-43DC-9706-8A225582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ucto</cp:lastModifiedBy>
  <cp:revision>140</cp:revision>
  <cp:lastPrinted>2014-07-03T06:13:00Z</cp:lastPrinted>
  <dcterms:created xsi:type="dcterms:W3CDTF">2011-03-04T08:26:00Z</dcterms:created>
  <dcterms:modified xsi:type="dcterms:W3CDTF">2015-02-04T10:38:00Z</dcterms:modified>
</cp:coreProperties>
</file>